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Dategrp-11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постановления объявлена </w:t>
      </w:r>
      <w:r>
        <w:rPr>
          <w:rStyle w:val="cat-Dategrp-12rplc-2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постановление составлено </w:t>
      </w:r>
      <w:r>
        <w:rPr>
          <w:rStyle w:val="cat-Dategrp-13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2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2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должностного лица, составившего протокол об административном правонарушении, - </w:t>
      </w:r>
      <w:r>
        <w:rPr>
          <w:rFonts w:ascii="Times New Roman" w:eastAsia="Times New Roman" w:hAnsi="Times New Roman" w:cs="Times New Roman"/>
          <w:sz w:val="26"/>
          <w:szCs w:val="26"/>
        </w:rPr>
        <w:t>ст.инспектора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инспекторского отдела №6 аппарата Счетной палаты ХМАО-Югры, </w:t>
      </w:r>
      <w:r>
        <w:rPr>
          <w:rStyle w:val="cat-FIOgrp-27rplc-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№5-42-2803/2025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ст.15.15.3 КоАП РФ в отношении </w:t>
      </w:r>
      <w:r>
        <w:rPr>
          <w:rStyle w:val="cat-FIOgrp-28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Службы по контролю и надзору в сфере охраны окружающей среды, объектов животного мира и лесных отношений Ханты-Мансийского автономного округа-Югры,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лицом-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 Службы по контролю и надзору в сфере охраны окружающей среды, объектов животного мира и лесных отношений Ханты-Мансийского автономного округа-Югры (далее-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Служба)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исполнения своих должностных обязанностей по адресу: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вследствие ненадлежащего исполнения своих должностных обяз</w:t>
      </w:r>
      <w:r>
        <w:rPr>
          <w:rFonts w:ascii="Times New Roman" w:eastAsia="Times New Roman" w:hAnsi="Times New Roman" w:cs="Times New Roman"/>
          <w:sz w:val="26"/>
          <w:szCs w:val="26"/>
        </w:rPr>
        <w:t>анностей, предусмотренных п.3.1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разд.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регламента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руководителем Аппарата Губернатора –заместителем Губернатора ХМАО-Югры </w:t>
      </w:r>
      <w:r>
        <w:rPr>
          <w:rStyle w:val="cat-FIOgrp-3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руководитель 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осуществляет руковод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ство деятельностью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заключает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взаимодействии по вопросам, относящимся к сфере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заключил с Администрацией </w:t>
      </w:r>
      <w:r>
        <w:rPr>
          <w:rStyle w:val="cat-Addressgrp-4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 </w:t>
      </w:r>
      <w:r>
        <w:rPr>
          <w:rFonts w:ascii="Times New Roman" w:eastAsia="Times New Roman" w:hAnsi="Times New Roman" w:cs="Times New Roman"/>
          <w:sz w:val="26"/>
          <w:szCs w:val="26"/>
        </w:rPr>
        <w:t>о предоставлении субсидии местному бюджету из бюджета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>.«д</w:t>
      </w:r>
      <w:r>
        <w:rPr>
          <w:rFonts w:ascii="Times New Roman" w:eastAsia="Times New Roman" w:hAnsi="Times New Roman" w:cs="Times New Roman"/>
          <w:sz w:val="26"/>
          <w:szCs w:val="26"/>
        </w:rPr>
        <w:t>» п.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субсидии из бюджета Ханты-Мансийского автономного округа-Югры бюджетам муниципальных образований Ханты-Мансийского автономного округа-Югры на создание </w:t>
      </w:r>
      <w:r>
        <w:rPr>
          <w:rFonts w:ascii="Times New Roman" w:eastAsia="Times New Roman" w:hAnsi="Times New Roman" w:cs="Times New Roman"/>
          <w:sz w:val="26"/>
          <w:szCs w:val="26"/>
        </w:rPr>
        <w:t>общеукрепительных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сооружений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постановлением </w:t>
      </w:r>
      <w:r>
        <w:rPr>
          <w:rStyle w:val="cat-Addressgrp-2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№595-п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 мерах по реализации государственной программы Ханты-Мансийского автономного округа-Югры «</w:t>
      </w:r>
      <w:r>
        <w:rPr>
          <w:rFonts w:ascii="Times New Roman" w:eastAsia="Times New Roman" w:hAnsi="Times New Roman" w:cs="Times New Roman"/>
          <w:sz w:val="26"/>
          <w:szCs w:val="26"/>
        </w:rPr>
        <w:t>Экологическая безопасность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(далее-Порядок предоставления субсидии)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отсутствии утвержденной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Style w:val="cat-Addressgrp-4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проектно-сметной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документации на строительство объекта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Участок набережной 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5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2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 не оспаривал,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казал, что проектно-сметная документация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подписания Соглашения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была утверждена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руководителя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лицо, составившее протокол об административном правонарушении, </w:t>
      </w:r>
      <w:r>
        <w:rPr>
          <w:rStyle w:val="cat-FIOgrp-3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поддержал основания привлечения </w:t>
      </w:r>
      <w:r>
        <w:rPr>
          <w:rStyle w:val="cat-FIOgrp-2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участников производства, 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2 </w:t>
      </w:r>
      <w:hyperlink r:id="rId4" w:anchor="/document/12125267/entry/15151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15.15.3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главным распорядителем бюджетных средств, предоставляющим межбюджетные субсидии на </w:t>
      </w:r>
      <w:r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капитальных вложений в объекты государственной (муниципальной) собственности, порядка и (или) условий предоставления межбюджетных субсидий.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Распределением бюджетных ассигнований по разделам, подразделам, целевым статьям (государственным программам автономного округа и непрограммным направлениям деятельности), группам и подгруппам видов расходов классификации расходов бюджета Ханты-Мансийского автономного округа-Югры на </w:t>
      </w:r>
      <w:r>
        <w:rPr>
          <w:rStyle w:val="cat-Dategrp-1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утвержденным приложением 6 Закона №132-оз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реализацию основного мероприятия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Проектирование и строительство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противопаводковых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дамб обвалования и берегоукрепительных сооружений»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«</w:t>
      </w:r>
      <w:r>
        <w:rPr>
          <w:rFonts w:ascii="Times New Roman" w:eastAsia="Times New Roman" w:hAnsi="Times New Roman" w:cs="Times New Roman"/>
          <w:sz w:val="26"/>
          <w:szCs w:val="26"/>
        </w:rPr>
        <w:t>Развитие водохозяйственного комплекса в Ханты-Мансийском автономном округе-Югре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программы «Экологическая безопасность»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Dategrp-1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субсидия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создание берегоукрепительных сооружений за счет бюджетных кредитов на реализацию инфраструктурных проектов (научно-технологический центр в </w:t>
      </w:r>
      <w:r>
        <w:rPr>
          <w:rStyle w:val="cat-Addressgrp-4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Порядка предоставления субсидии субсидия предоставляется на основании соглашения о предоставлении субсидии.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Соглашение заключают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муниципальное образование в форме электронного документа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государственной информационной системы </w:t>
      </w:r>
      <w:r>
        <w:rPr>
          <w:rStyle w:val="cat-Addressgrp-8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электронный бюджет </w:t>
      </w:r>
      <w:r>
        <w:rPr>
          <w:rStyle w:val="cat-Addressgrp-7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 в соответствии с типовой формой, установленной приказом Департамента финансов автономного округа.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п.10 Порядка предоставлении субсидии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между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Югриы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Администрацией </w:t>
      </w:r>
      <w:r>
        <w:rPr>
          <w:rStyle w:val="cat-Addressgrp-4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заключено Соглашение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субсидии местному бюджету из бюджета автономного округа.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Порядком предоставления субсидии определены условия предоставления из бюджета автономного округа субсидии бюджетам городских округов и муниципальных районов автономного округа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создание берегоукрепительных сооружений, реализуемых в составе инфраструктурных проектов на реализацию основного мероприятия 4.1. «Проектирование и строительство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противопаводковых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дамб обвалования и берегоукрепительных сооружений» подпрограммы 4 «Развитие водохозяйственного комплекса в Ханты-Мансийском автономном округе-Югре государственной программы «Экологическая безопасность».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>.«</w:t>
      </w:r>
      <w:r>
        <w:rPr>
          <w:rFonts w:ascii="Times New Roman" w:eastAsia="Times New Roman" w:hAnsi="Times New Roman" w:cs="Times New Roman"/>
          <w:sz w:val="26"/>
          <w:szCs w:val="26"/>
        </w:rPr>
        <w:t>д» п.9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Порядка предоставления субсидии одним из условий предоставления субсидии является наличие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утвержденной в установленном порядке проектно-сметной документации.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 к форме листа утверждения проектной документации муниципальных объектов, проектирование и строительство которых осуществляется с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привлечением средств бюджета закреплены в таблице 2.2 Порядка утверж</w:t>
      </w:r>
      <w:r>
        <w:rPr>
          <w:rFonts w:ascii="Times New Roman" w:eastAsia="Times New Roman" w:hAnsi="Times New Roman" w:cs="Times New Roman"/>
          <w:sz w:val="26"/>
          <w:szCs w:val="26"/>
        </w:rPr>
        <w:t>дения заданий на проектирование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проектной документации на объекты капитального строительства, строительство, реконструкция которых осуществляется с привлечением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 бюджета Ханты-Мансийского автономного округа-Югры, утвержденного постановлением </w:t>
      </w:r>
      <w:r>
        <w:rPr>
          <w:rStyle w:val="cat-Addressgrp-9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№297-п. 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у</w:t>
      </w:r>
      <w:r>
        <w:rPr>
          <w:rFonts w:ascii="Times New Roman" w:eastAsia="Times New Roman" w:hAnsi="Times New Roman" w:cs="Times New Roman"/>
          <w:sz w:val="26"/>
          <w:szCs w:val="26"/>
        </w:rPr>
        <w:t>становлено,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силу требований п.5.5.13 Положения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Службе по контролю и надзору в сфере охраны окружающей среды, объектов животного мира и лесных отношений Ханты-Мансийского автономного округа-Югры, утвержденного постановлением Правительства ХМАО-Югры от </w:t>
      </w:r>
      <w:r>
        <w:rPr>
          <w:rStyle w:val="cat-Dategrp-18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№299-п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Служба осуществляет ф</w:t>
      </w:r>
      <w:r>
        <w:rPr>
          <w:rFonts w:ascii="Times New Roman" w:eastAsia="Times New Roman" w:hAnsi="Times New Roman" w:cs="Times New Roman"/>
          <w:sz w:val="26"/>
          <w:szCs w:val="26"/>
        </w:rPr>
        <w:t>ункции главного распорядителя и получателя средств бюджета автономного округа, предусмотренных на содержание Службы и реализацию возложенных на Службу функций, а также бюджетные полномочия главного администратора (администратора) доходов бюджетов бюджетной системы Российской Федераци</w:t>
      </w:r>
      <w:r>
        <w:rPr>
          <w:rFonts w:ascii="Times New Roman" w:eastAsia="Times New Roman" w:hAnsi="Times New Roman" w:cs="Times New Roman"/>
          <w:sz w:val="26"/>
          <w:szCs w:val="26"/>
        </w:rPr>
        <w:t>и.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Style w:val="cat-Dategrp-15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между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Style w:val="cat-FIOgrp-26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Администрацией </w:t>
      </w:r>
      <w:r>
        <w:rPr>
          <w:rStyle w:val="cat-Addressgrp-4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заключено Соглашен</w:t>
      </w:r>
      <w:r>
        <w:rPr>
          <w:rFonts w:ascii="Times New Roman" w:eastAsia="Times New Roman" w:hAnsi="Times New Roman" w:cs="Times New Roman"/>
          <w:sz w:val="26"/>
          <w:szCs w:val="26"/>
        </w:rPr>
        <w:t>ие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местному бюджету из бюджета ХМАО-Югры субсидии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создание берегоукрепительных сооружений за счет бюджетных кредитов на реализацию инфраструктурных проектов (научно-технологический центр в </w:t>
      </w:r>
      <w:r>
        <w:rPr>
          <w:rStyle w:val="cat-Addressgrp-4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Порядка утверждения заданий на проектирование и проектной документации на объекты капитального строительства, строительство, реконструкция которых осуществляется с привлечением средств бюджета Ханты-Мансийского автономного округа-Югры, утвержденного постановлением </w:t>
      </w:r>
      <w:r>
        <w:rPr>
          <w:rStyle w:val="cat-Addressgrp-9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№297-п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проектно-сметная документация на строительство объекта «Участок набережной </w:t>
      </w:r>
      <w:r>
        <w:rPr>
          <w:rStyle w:val="cat-Addressgrp-3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5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 на дату заключения Соглашения №1 (</w:t>
      </w:r>
      <w:r>
        <w:rPr>
          <w:rStyle w:val="cat-Dategrp-15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не утверждена руководителем администрации </w:t>
      </w:r>
      <w:r>
        <w:rPr>
          <w:rStyle w:val="cat-Addressgrp-4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обстоятельства подтверждаются совокупностью исследованных в ходе судебного заседания доказательств, а именно: </w:t>
      </w:r>
    </w:p>
    <w:p>
      <w:pPr>
        <w:widowControl w:val="0"/>
        <w:spacing w:before="0" w:after="0"/>
        <w:ind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инистративном правонарушении №9/2024 от </w:t>
      </w:r>
      <w:r>
        <w:rPr>
          <w:rStyle w:val="cat-Dategrp-19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Style w:val="cat-FIOgrp-32rplc-5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ind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приказа председателя Счетной палаты ХМАО-Югры </w:t>
      </w:r>
      <w:r>
        <w:rPr>
          <w:rStyle w:val="cat-FIOgrp-33rplc-5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№13 от </w:t>
      </w:r>
      <w:r>
        <w:rPr>
          <w:rStyle w:val="cat-Dategrp-20rplc-5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 проведении контрольного мероприятия»;</w:t>
      </w:r>
    </w:p>
    <w:p>
      <w:pPr>
        <w:widowControl w:val="0"/>
        <w:spacing w:before="0" w:after="0"/>
        <w:ind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Соглашения о предоставлении субсидии местному бюджету из </w:t>
      </w:r>
      <w:r>
        <w:rPr>
          <w:rFonts w:ascii="Times New Roman" w:eastAsia="Times New Roman" w:hAnsi="Times New Roman" w:cs="Times New Roman"/>
          <w:sz w:val="26"/>
          <w:szCs w:val="26"/>
        </w:rPr>
        <w:t>бюджета ХМАО-Югры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5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приложениями;</w:t>
      </w:r>
    </w:p>
    <w:p>
      <w:pPr>
        <w:widowControl w:val="0"/>
        <w:spacing w:before="0" w:after="0"/>
        <w:ind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листа утверждения проек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тной документации объекта капитального строительства «Участок набережной </w:t>
      </w:r>
      <w:r>
        <w:rPr>
          <w:rStyle w:val="cat-Addressgrp-3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5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», утвержденного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заместителем главы </w:t>
      </w:r>
      <w:r>
        <w:rPr>
          <w:rStyle w:val="cat-Addressgrp-4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Dategrp-21rplc-6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должностного регламента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им своих должностных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разд.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eastAsia="Times New Roman" w:hAnsi="Times New Roman" w:cs="Times New Roman"/>
          <w:sz w:val="26"/>
          <w:szCs w:val="26"/>
        </w:rPr>
        <w:t>Службе по контролю и надзору в сфере охраны окружающей среды, объектов животного мира и лесных отношений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ХМАО-Югры от </w:t>
      </w:r>
      <w:r>
        <w:rPr>
          <w:rStyle w:val="cat-Dategrp-18rplc-6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-п, </w:t>
      </w:r>
      <w:r>
        <w:rPr>
          <w:rFonts w:ascii="Times New Roman" w:eastAsia="Times New Roman" w:hAnsi="Times New Roman" w:cs="Times New Roman"/>
          <w:sz w:val="26"/>
          <w:szCs w:val="26"/>
        </w:rPr>
        <w:t>службу возглавляет руководитель Службы, назначаемый на должность и освобождаемый от должности Губернатором автономного округа в порядке, установленном законодательством Российской Федерации и автономного округа.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Службы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существляет руководство деятельностью Службы, несет персональную ответственность за обеспечение исполнения полномочий Службы. Действует от имени Службы без доверенности во взаимоотношениях с органами государственной власти Российской Федерации и </w:t>
      </w:r>
      <w:r>
        <w:rPr>
          <w:rStyle w:val="cat-Addressgrp-10rplc-6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6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органами местного самоуправления муниципальных образований автономного округа, в арбитражных судах и судах общей юрисдикции, правоохранительных органах, с юридическими лицами и гражданами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(п.п.10.1, 10.2 Положения).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п.3.1 раздела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регламента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руководитель 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заключает в пределах своей компетенции договоры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взаимодействии по вопросам, относящимся к сфере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6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распор</w:t>
      </w:r>
      <w:r>
        <w:rPr>
          <w:rFonts w:ascii="Times New Roman" w:eastAsia="Times New Roman" w:hAnsi="Times New Roman" w:cs="Times New Roman"/>
          <w:sz w:val="26"/>
          <w:szCs w:val="26"/>
        </w:rPr>
        <w:t>яжению Губернатора ХМАО-Югры №102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-ргк от </w:t>
      </w:r>
      <w:r>
        <w:rPr>
          <w:rStyle w:val="cat-Dategrp-22rplc-6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Style w:val="cat-FIOgrp-26rplc-6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 на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Природнадзора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6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период с </w:t>
      </w:r>
      <w:r>
        <w:rPr>
          <w:rStyle w:val="cat-Dategrp-23rplc-6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24rplc-7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>
        <w:rPr>
          <w:rStyle w:val="cat-FIOgrp-26rplc-7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ч.2 ст.15.15.3 КоАП РФ-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главным распорядителем бюджетных средств, предоставляющим межбюджетные субсидии на </w:t>
      </w:r>
      <w:r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капитальных вложений в объекты государственной (муниципальной) собственности, порядка и (или) условий предоставления межбюджетных субсидий.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5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 и поэтому определяется в каждом конкретном случае, исходя из обстоятельств совершенного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ч.2 ст.15.15.3 КоАП РФ существенно нарушает охраняемые общественные правоотношения, и выражается в нарушении целей реализации единой государственной финансово-бюджетной политики, что влияет на устойчивость финансово-бюджетной системы Российской Федерации в целом, в связи с чем, оснований для применения </w:t>
      </w:r>
      <w:hyperlink r:id="rId5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рассматриваемом случае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26rplc-7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совершенного им административного правонарушения, его личность, имущественное положение, а также обстоятельства, смягчающие и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6rplc-7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имеет постоянное место работы, смягчающим административную ответственность обстоятельством является признание вины в совершенном правонарушении,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5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Согласно ч.1 ст.4.1.1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за впервые совершенное административное правонарушение, выявленное в ходе осуществления государственного контроля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ч.2 ст.3.4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ч.2 ст.3.4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Санкция ч.2 ст.15.5.3 КоАП РФ предусматривает наказание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должностных лиц в размере от двадцати тысяч до </w:t>
      </w:r>
      <w:r>
        <w:rPr>
          <w:rStyle w:val="cat-SumInWordsgrp-36rplc-7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того, что </w:t>
      </w:r>
      <w:r>
        <w:rPr>
          <w:rStyle w:val="cat-FIOgrp-26rplc-7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суд считает возможным назначение ему наказания в минимальном размере, предусмотренном санкцией ч.2 ст.15.15.3 КоАП РФ, то есть в размере </w:t>
      </w:r>
      <w:r>
        <w:rPr>
          <w:rStyle w:val="cat-Sumgrp-37rplc-7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отсутствия вреда 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с учетом отсутствия имущественного ущерба, суд считает возможным в соответствии с положениями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ст.4.1.1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заменить штраф на предупреждение.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ст.ст.4.1.1,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28rplc-7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ч.2 ст.15.15.3 КоАП РФ, и назначить ему наказание в виде штрафа в размере </w:t>
      </w:r>
      <w:r>
        <w:rPr>
          <w:rStyle w:val="cat-Sumgrp-38rplc-7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Назначенное </w:t>
      </w:r>
      <w:r>
        <w:rPr>
          <w:rStyle w:val="cat-FIOgrp-34rplc-7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соответствии с ч.1 ст.4.1.1 КоАП РФ заменить предупреждением.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5rplc-8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35rplc-8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Dategrp-13rplc-3">
    <w:name w:val="cat-Date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FIOgrp-26rplc-6">
    <w:name w:val="cat-FIO grp-26 rplc-6"/>
    <w:basedOn w:val="DefaultParagraphFont"/>
  </w:style>
  <w:style w:type="character" w:customStyle="1" w:styleId="cat-FIOgrp-27rplc-7">
    <w:name w:val="cat-FIO grp-27 rplc-7"/>
    <w:basedOn w:val="DefaultParagraphFont"/>
  </w:style>
  <w:style w:type="character" w:customStyle="1" w:styleId="cat-FIOgrp-28rplc-8">
    <w:name w:val="cat-FIO grp-28 rplc-8"/>
    <w:basedOn w:val="DefaultParagraphFont"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39rplc-10">
    <w:name w:val="cat-PassportData grp-39 rplc-10"/>
    <w:basedOn w:val="DefaultParagraphFont"/>
  </w:style>
  <w:style w:type="character" w:customStyle="1" w:styleId="cat-FIOgrp-29rplc-11">
    <w:name w:val="cat-FIO grp-29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30rplc-15">
    <w:name w:val="cat-FIO grp-30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2rplc-21">
    <w:name w:val="cat-Address grp-2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26rplc-26">
    <w:name w:val="cat-FIO grp-26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31rplc-28">
    <w:name w:val="cat-FIO grp-31 rplc-28"/>
    <w:basedOn w:val="DefaultParagraphFont"/>
  </w:style>
  <w:style w:type="character" w:customStyle="1" w:styleId="cat-FIOgrp-26rplc-29">
    <w:name w:val="cat-FIO grp-2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Dategrp-18rplc-40">
    <w:name w:val="cat-Date grp-18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6rplc-43">
    <w:name w:val="cat-FIO grp-26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Dategrp-18rplc-47">
    <w:name w:val="cat-Date grp-18 rplc-47"/>
    <w:basedOn w:val="DefaultParagraphFont"/>
  </w:style>
  <w:style w:type="character" w:customStyle="1" w:styleId="cat-Addressgrp-3rplc-48">
    <w:name w:val="cat-Address grp-3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Dategrp-15rplc-50">
    <w:name w:val="cat-Date grp-15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Dategrp-19rplc-52">
    <w:name w:val="cat-Date grp-19 rplc-52"/>
    <w:basedOn w:val="DefaultParagraphFont"/>
  </w:style>
  <w:style w:type="character" w:customStyle="1" w:styleId="cat-FIOgrp-32rplc-53">
    <w:name w:val="cat-FIO grp-32 rplc-53"/>
    <w:basedOn w:val="DefaultParagraphFont"/>
  </w:style>
  <w:style w:type="character" w:customStyle="1" w:styleId="cat-FIOgrp-33rplc-54">
    <w:name w:val="cat-FIO grp-33 rplc-54"/>
    <w:basedOn w:val="DefaultParagraphFont"/>
  </w:style>
  <w:style w:type="character" w:customStyle="1" w:styleId="cat-Dategrp-20rplc-55">
    <w:name w:val="cat-Date grp-20 rplc-55"/>
    <w:basedOn w:val="DefaultParagraphFont"/>
  </w:style>
  <w:style w:type="character" w:customStyle="1" w:styleId="cat-Dategrp-15rplc-56">
    <w:name w:val="cat-Date grp-15 rplc-56"/>
    <w:basedOn w:val="DefaultParagraphFont"/>
  </w:style>
  <w:style w:type="character" w:customStyle="1" w:styleId="cat-Addressgrp-3rplc-57">
    <w:name w:val="cat-Address grp-3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Dategrp-21rplc-60">
    <w:name w:val="cat-Date grp-21 rplc-60"/>
    <w:basedOn w:val="DefaultParagraphFont"/>
  </w:style>
  <w:style w:type="character" w:customStyle="1" w:styleId="cat-Addressgrp-7rplc-61">
    <w:name w:val="cat-Address grp-7 rplc-61"/>
    <w:basedOn w:val="DefaultParagraphFont"/>
  </w:style>
  <w:style w:type="character" w:customStyle="1" w:styleId="cat-Dategrp-18rplc-62">
    <w:name w:val="cat-Date grp-18 rplc-62"/>
    <w:basedOn w:val="DefaultParagraphFont"/>
  </w:style>
  <w:style w:type="character" w:customStyle="1" w:styleId="cat-Addressgrp-10rplc-63">
    <w:name w:val="cat-Address grp-10 rplc-63"/>
    <w:basedOn w:val="DefaultParagraphFont"/>
  </w:style>
  <w:style w:type="character" w:customStyle="1" w:styleId="cat-Addressgrp-7rplc-64">
    <w:name w:val="cat-Address grp-7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Dategrp-22rplc-66">
    <w:name w:val="cat-Date grp-22 rplc-66"/>
    <w:basedOn w:val="DefaultParagraphFont"/>
  </w:style>
  <w:style w:type="character" w:customStyle="1" w:styleId="cat-FIOgrp-26rplc-67">
    <w:name w:val="cat-FIO grp-26 rplc-67"/>
    <w:basedOn w:val="DefaultParagraphFont"/>
  </w:style>
  <w:style w:type="character" w:customStyle="1" w:styleId="cat-Addressgrp-7rplc-68">
    <w:name w:val="cat-Address grp-7 rplc-68"/>
    <w:basedOn w:val="DefaultParagraphFont"/>
  </w:style>
  <w:style w:type="character" w:customStyle="1" w:styleId="cat-Dategrp-23rplc-69">
    <w:name w:val="cat-Date grp-23 rplc-69"/>
    <w:basedOn w:val="DefaultParagraphFont"/>
  </w:style>
  <w:style w:type="character" w:customStyle="1" w:styleId="cat-Dategrp-24rplc-70">
    <w:name w:val="cat-Date grp-24 rplc-70"/>
    <w:basedOn w:val="DefaultParagraphFont"/>
  </w:style>
  <w:style w:type="character" w:customStyle="1" w:styleId="cat-FIOgrp-26rplc-71">
    <w:name w:val="cat-FIO grp-26 rplc-71"/>
    <w:basedOn w:val="DefaultParagraphFont"/>
  </w:style>
  <w:style w:type="character" w:customStyle="1" w:styleId="cat-FIOgrp-26rplc-72">
    <w:name w:val="cat-FIO grp-26 rplc-72"/>
    <w:basedOn w:val="DefaultParagraphFont"/>
  </w:style>
  <w:style w:type="character" w:customStyle="1" w:styleId="cat-FIOgrp-26rplc-73">
    <w:name w:val="cat-FIO grp-26 rplc-73"/>
    <w:basedOn w:val="DefaultParagraphFont"/>
  </w:style>
  <w:style w:type="character" w:customStyle="1" w:styleId="cat-SumInWordsgrp-36rplc-74">
    <w:name w:val="cat-SumInWords grp-36 rplc-74"/>
    <w:basedOn w:val="DefaultParagraphFont"/>
  </w:style>
  <w:style w:type="character" w:customStyle="1" w:styleId="cat-FIOgrp-26rplc-75">
    <w:name w:val="cat-FIO grp-26 rplc-75"/>
    <w:basedOn w:val="DefaultParagraphFont"/>
  </w:style>
  <w:style w:type="character" w:customStyle="1" w:styleId="cat-Sumgrp-37rplc-76">
    <w:name w:val="cat-Sum grp-37 rplc-76"/>
    <w:basedOn w:val="DefaultParagraphFont"/>
  </w:style>
  <w:style w:type="character" w:customStyle="1" w:styleId="cat-FIOgrp-28rplc-77">
    <w:name w:val="cat-FIO grp-28 rplc-77"/>
    <w:basedOn w:val="DefaultParagraphFont"/>
  </w:style>
  <w:style w:type="character" w:customStyle="1" w:styleId="cat-Sumgrp-38rplc-78">
    <w:name w:val="cat-Sum grp-38 rplc-78"/>
    <w:basedOn w:val="DefaultParagraphFont"/>
  </w:style>
  <w:style w:type="character" w:customStyle="1" w:styleId="cat-FIOgrp-34rplc-79">
    <w:name w:val="cat-FIO grp-34 rplc-79"/>
    <w:basedOn w:val="DefaultParagraphFont"/>
  </w:style>
  <w:style w:type="character" w:customStyle="1" w:styleId="cat-FIOgrp-35rplc-80">
    <w:name w:val="cat-FIO grp-35 rplc-80"/>
    <w:basedOn w:val="DefaultParagraphFont"/>
  </w:style>
  <w:style w:type="character" w:customStyle="1" w:styleId="cat-FIOgrp-35rplc-81">
    <w:name w:val="cat-FIO grp-35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